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《2011中期经济趋势与企业投融资策略》高峰论坛报名表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