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企业劳动用工成本的管控与风险规避及新《工伤保险条例》精准解读与工伤赔偿实务应对技巧报名表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