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企业当前危机与风险管理公开课报名表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