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拯救“现金流危机”-房地产运营管理沙盘报名表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