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企业经营活动中税务热点难点问题处理技巧与涉税风险控制报名表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