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动荡环境下的企业融资策略与新型预算系统报名表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