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如何设计“三个公平和两个激励”的薪酬体系报名表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