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中国式薪酬设计“四步走”实战训练营报名表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