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IPO税务风险处理防范及应对策略高级案例训练营报名表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