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房地产企业投融资税务规划及稽查风险应对案例精讲班报名表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