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房地产企业经济合同涉税风险控制暨税收规划高研班报名表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