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新规定、新变化及企业应对策略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