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中国家族企业治理-传承创新与可持续发展报名表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