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2014房地产开发全程票据处理技巧与税务风险控制专题班报名表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