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房地产投融资五大阶段税务规划与风险管控专题班报名表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