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房地产企业转型过程中投融资业务核心财税问题解析专题班报名表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