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营改增后建筑企业面临的10大涉税疑难问题破解与 不同项目管理模式下的财税管理体系构建专题报名表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