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2017增值税时代房地产企业税收风险管控与操作实务专题报名表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