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2018房地产企业五大涉税难题深度解析与应对实务专题报名表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