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最新所得税法实施细则解析及应对策略报名表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