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海关监管改革与海关稽查疑难问题企业关注的特许权使用费详解研讨班报名表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