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高新及研发税务高风险事项梳理及应对策略与增值税实务热点问题解析报名表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填表日期：2025年04月17日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