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原产地合理运用、关联交易与海关价格审核报名表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