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本管理：微利时代再造核心竞争力 （精华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