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面注册制时代背景下资本（股权）运作模式与操作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