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后疫情时代 — 组织重启与人才结构优化报名表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