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工业4.0背景下的精益生产报名表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