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最新税法政策解读与企业税务风险防范报名表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