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资产配置策略及环球投资机会分析报名表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