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股权激励与合伙人机制落地咨询精华班报名表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