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注册制时代背景下资本（股权）运作模式与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