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国有企业收入分配政策解读暨薪酬设计、绩效管理操作实务报名表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