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驱动价值创造的战略绩效与激励管理报名表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