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新零售背景下：实体店业绩经营策略报名表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