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FMEA失效模式与影响分析报名表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