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“对标世界一流企业：基于战略预算管理 暨数字化创造财务新价值”报名表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