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向华为学习：TUP动态股权激励方案落地班报名表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