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多元化用工模式选择与核心岗位用工风险防控策略报名表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