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业绩倍增，赢在战略：BLM战略驱动的业务逻辑主报名表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