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业绩倍增，赢在战略：BLM战略驱动的业务逻辑主培训报名表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