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资产配置与全球投资机会分析报名表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