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咨询教练式”绩效薪酬管理体系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