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ESG战略-标准及报告编制报名表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