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《公司法》适用难点解析暨公司诉讼经典案例高级研修班报名表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