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激活增长—战略性薪酬设计报名表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