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后疫情时代-供应链创新管理与风险控制报名表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