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“咨询教练式”绩效薪酬管理体系设计方案报名表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