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企业财税合规落地三部曲：股权布局、商业构建、业务落地报名表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