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新公司法涉税影响及企业股权架构规划专题班报名表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