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房地产企业大数据控税下的纳税风险与税收规划报名表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